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381" w:rsidRPr="009C2AD3" w:rsidRDefault="008A2413" w:rsidP="008103F5">
      <w:pPr>
        <w:jc w:val="both"/>
        <w:rPr>
          <w:rFonts w:ascii="Open Sans" w:hAnsi="Open Sans" w:cs="Open Sans"/>
          <w:sz w:val="24"/>
          <w:szCs w:val="24"/>
        </w:rPr>
      </w:pPr>
      <w:r>
        <w:rPr>
          <w:rFonts w:ascii="Open Sans" w:hAnsi="Open Sans" w:cs="Open Sans"/>
          <w:noProof/>
          <w:sz w:val="24"/>
          <w:szCs w:val="24"/>
          <w:lang w:eastAsia="lt-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veikslėlis 8" o:spid="_x0000_s1026" type="#_x0000_t75" style="position:absolute;left:0;text-align:left;margin-left:241.5pt;margin-top:-4.5pt;width:218.25pt;height:64.3pt;z-index:-1;visibility:visible">
            <v:imagedata r:id="rId6" o:title=""/>
          </v:shape>
        </w:pict>
      </w:r>
      <w:r>
        <w:rPr>
          <w:rFonts w:ascii="Open Sans" w:hAnsi="Open Sans" w:cs="Open Sans"/>
          <w:noProof/>
          <w:sz w:val="24"/>
          <w:szCs w:val="24"/>
          <w:lang w:eastAsia="lt-LT"/>
        </w:rPr>
        <w:pict>
          <v:shape id="Paveikslėlis 7" o:spid="_x0000_s1027" type="#_x0000_t75" style="position:absolute;left:0;text-align:left;margin-left:-52.5pt;margin-top:-19.5pt;width:283.7pt;height:92.15pt;z-index:-2;visibility:visible">
            <v:imagedata r:id="rId7" o:title=""/>
          </v:shape>
        </w:pict>
      </w:r>
      <w:r w:rsidR="00677381" w:rsidRPr="009C2AD3">
        <w:rPr>
          <w:rFonts w:ascii="Open Sans" w:hAnsi="Open Sans" w:cs="Open Sans"/>
          <w:snapToGrid w:val="0"/>
          <w:color w:val="000000"/>
          <w:w w:val="0"/>
          <w:sz w:val="24"/>
          <w:szCs w:val="24"/>
          <w:u w:color="000000"/>
          <w:bdr w:val="none" w:sz="0" w:space="0" w:color="000000"/>
          <w:shd w:val="clear" w:color="000000" w:fill="000000"/>
        </w:rPr>
        <w:t xml:space="preserve"> </w:t>
      </w:r>
    </w:p>
    <w:p w:rsidR="00677381" w:rsidRPr="009C2AD3" w:rsidRDefault="00677381" w:rsidP="00EB29C7">
      <w:pPr>
        <w:ind w:firstLine="1296"/>
        <w:rPr>
          <w:rFonts w:ascii="Open Sans" w:hAnsi="Open Sans" w:cs="Open Sans"/>
          <w:sz w:val="24"/>
          <w:szCs w:val="24"/>
        </w:rPr>
      </w:pPr>
    </w:p>
    <w:p w:rsidR="00677381" w:rsidRPr="009C2AD3" w:rsidRDefault="00677381" w:rsidP="00853FDC">
      <w:pPr>
        <w:ind w:firstLine="567"/>
        <w:jc w:val="both"/>
        <w:rPr>
          <w:rFonts w:ascii="Open Sans" w:hAnsi="Open Sans" w:cs="Open Sans"/>
          <w:sz w:val="24"/>
          <w:szCs w:val="24"/>
        </w:rPr>
      </w:pPr>
    </w:p>
    <w:p w:rsidR="00926546" w:rsidRPr="009C2AD3" w:rsidRDefault="00926546" w:rsidP="008103F5">
      <w:pPr>
        <w:jc w:val="both"/>
        <w:rPr>
          <w:rFonts w:ascii="Open Sans" w:hAnsi="Open Sans" w:cs="Open Sans"/>
          <w:sz w:val="24"/>
          <w:szCs w:val="24"/>
        </w:rPr>
      </w:pPr>
      <w:r w:rsidRPr="009C2AD3">
        <w:rPr>
          <w:rFonts w:ascii="Open Sans" w:hAnsi="Open Sans" w:cs="Open Sans"/>
          <w:b/>
          <w:bCs/>
          <w:sz w:val="24"/>
          <w:szCs w:val="24"/>
        </w:rPr>
        <w:t>Vykdomas projektas „Darnaus turizmo paslaugų plėtra, priimant bendrus sprendimus, AttractiveFORyou“ Nr. LLI-211, kuris pagerins turizmo plėtrą pasienio regionuose</w:t>
      </w:r>
    </w:p>
    <w:p w:rsidR="00926546" w:rsidRPr="009C2AD3" w:rsidRDefault="00926546" w:rsidP="008103F5">
      <w:pPr>
        <w:jc w:val="both"/>
        <w:rPr>
          <w:rFonts w:ascii="Open Sans" w:hAnsi="Open Sans" w:cs="Open Sans"/>
          <w:sz w:val="24"/>
          <w:szCs w:val="24"/>
        </w:rPr>
      </w:pPr>
      <w:r w:rsidRPr="009C2AD3">
        <w:rPr>
          <w:rFonts w:ascii="Open Sans" w:hAnsi="Open Sans" w:cs="Open Sans"/>
          <w:b/>
          <w:bCs/>
          <w:i/>
          <w:iCs/>
          <w:sz w:val="24"/>
          <w:szCs w:val="24"/>
        </w:rPr>
        <w:t xml:space="preserve">Rokiškio turizmo ir tradicinių amatų centru kartu su Latvijos Koknesės ir Jakabpils savivaldybėmis bei Plungės rajono savivaldybės administracija įgyvendina projektą „Darnaus turizmo paslaugų plėtra, priimant bendrus sprendimus, AttractiveFORyou“ Nr. LLI-211. </w:t>
      </w:r>
    </w:p>
    <w:p w:rsidR="00926546" w:rsidRPr="009C2AD3" w:rsidRDefault="00926546" w:rsidP="008103F5">
      <w:pPr>
        <w:ind w:firstLine="1296"/>
        <w:jc w:val="both"/>
        <w:rPr>
          <w:rFonts w:ascii="Open Sans" w:hAnsi="Open Sans" w:cs="Open Sans"/>
          <w:sz w:val="24"/>
          <w:szCs w:val="24"/>
        </w:rPr>
      </w:pPr>
      <w:r w:rsidRPr="009C2AD3">
        <w:rPr>
          <w:rFonts w:ascii="Open Sans" w:hAnsi="Open Sans" w:cs="Open Sans"/>
          <w:sz w:val="24"/>
          <w:szCs w:val="24"/>
        </w:rPr>
        <w:t xml:space="preserve">Įrodyta, kad vietovėms, nutolusioms nuo sostinės daugiau negu </w:t>
      </w:r>
      <w:bookmarkStart w:id="0" w:name="_GoBack"/>
      <w:bookmarkEnd w:id="0"/>
      <w:r w:rsidRPr="009C2AD3">
        <w:rPr>
          <w:rFonts w:ascii="Open Sans" w:hAnsi="Open Sans" w:cs="Open Sans"/>
          <w:sz w:val="24"/>
          <w:szCs w:val="24"/>
        </w:rPr>
        <w:t>valanda kelio, reikia daugiau resursų, žinių ir gebėjimų pritraukti lankytojus praleisti jose daugiau negu vieną dieną. Kiekvienas iš projekto partnerių susiduria su šia problema. Turizmo rinkoje vienos vietovės pasiūlymas nėra konkurencingas, todėl kone vienintelė galimybė plėtoti turistines vietoves yra sujungti išteklius. Dėl šios priežasties yra kuriama partnerystė.</w:t>
      </w:r>
    </w:p>
    <w:p w:rsidR="00926546" w:rsidRPr="009C2AD3" w:rsidRDefault="00926546" w:rsidP="008103F5">
      <w:pPr>
        <w:ind w:firstLine="1296"/>
        <w:jc w:val="both"/>
        <w:rPr>
          <w:rFonts w:ascii="Open Sans" w:hAnsi="Open Sans" w:cs="Open Sans"/>
          <w:sz w:val="24"/>
          <w:szCs w:val="24"/>
        </w:rPr>
      </w:pPr>
      <w:r w:rsidRPr="009C2AD3">
        <w:rPr>
          <w:rFonts w:ascii="Open Sans" w:hAnsi="Open Sans" w:cs="Open Sans"/>
          <w:sz w:val="24"/>
          <w:szCs w:val="24"/>
        </w:rPr>
        <w:t>Projekto tikslas – didinti Latvijos ir Lietuvos miestų patrauklumą ir konkurencingumą, gerinant esančią turizmo infrastruktūrą ir paslaugas, didinti žinomumą skleidžiant informaciją tarp potencialių lankytojų apie jungtinius, teminius abiejose sienos pusėse esančius turistinius maršrutus. Projekto vykdymo metu bus pasiekti rezultatai: du jungtiniai turistiniai maršrutai, sukurti remiantis aktyvaus ir gastronominio turistinių maršrutų pagrindu; keturi gera įranga aprūpinti ir atnaujinti savivaldybių turizmo informacijos centrai; suorganizuotos mokomosios kelionės, kurios suteiks galimybę pasienio regiono turizmo specialistams susipažinti su partnerių gerąja patirtimi; numatytos dvi informacinės kelionės turizmo operatoriams ir žiniasklaidos atstovams, taip pat bus paruoštas ir išleistas mokymų vadovas gidams bei interaktyvūs virtualūs turai.</w:t>
      </w:r>
    </w:p>
    <w:p w:rsidR="00926546" w:rsidRPr="009C2AD3" w:rsidRDefault="00926546" w:rsidP="008103F5">
      <w:pPr>
        <w:ind w:firstLine="1296"/>
        <w:jc w:val="both"/>
        <w:rPr>
          <w:rFonts w:ascii="Open Sans" w:hAnsi="Open Sans" w:cs="Open Sans"/>
          <w:sz w:val="24"/>
          <w:szCs w:val="24"/>
        </w:rPr>
      </w:pPr>
      <w:r w:rsidRPr="009C2AD3">
        <w:rPr>
          <w:rFonts w:ascii="Open Sans" w:hAnsi="Open Sans" w:cs="Open Sans"/>
          <w:sz w:val="24"/>
          <w:szCs w:val="24"/>
        </w:rPr>
        <w:t>Projekto tikslinėse grupėse dalyvaus vietiniai ir užsienio turistai, potencialūs turistinių maršrutų ir objektų lankytojai, žiniasklaidos ir vietos savivaldos atstovai. Reklamuodami patrauklias turistines paslaugas, produktus ir infrastruktūrą, tikimės sukurti partnerystės modelį, kuris pagerins turizmo plėtrą pasienio regionuose.</w:t>
      </w:r>
    </w:p>
    <w:p w:rsidR="006C30F1" w:rsidRPr="009C2AD3" w:rsidRDefault="00926546" w:rsidP="008103F5">
      <w:pPr>
        <w:jc w:val="both"/>
        <w:rPr>
          <w:rFonts w:ascii="Open Sans" w:hAnsi="Open Sans" w:cs="Open Sans"/>
          <w:sz w:val="24"/>
          <w:szCs w:val="24"/>
        </w:rPr>
      </w:pPr>
      <w:r w:rsidRPr="009C2AD3">
        <w:rPr>
          <w:rFonts w:ascii="Open Sans" w:hAnsi="Open Sans" w:cs="Open Sans"/>
          <w:sz w:val="24"/>
          <w:szCs w:val="24"/>
        </w:rPr>
        <w:t>Bendras p</w:t>
      </w:r>
      <w:r w:rsidR="006C30F1" w:rsidRPr="009C2AD3">
        <w:rPr>
          <w:rFonts w:ascii="Open Sans" w:hAnsi="Open Sans" w:cs="Open Sans"/>
          <w:sz w:val="24"/>
          <w:szCs w:val="24"/>
        </w:rPr>
        <w:t>rojekto biudžetas – 471 234,47 E</w:t>
      </w:r>
      <w:r w:rsidRPr="009C2AD3">
        <w:rPr>
          <w:rFonts w:ascii="Open Sans" w:hAnsi="Open Sans" w:cs="Open Sans"/>
          <w:sz w:val="24"/>
          <w:szCs w:val="24"/>
        </w:rPr>
        <w:t xml:space="preserve">urai, </w:t>
      </w:r>
    </w:p>
    <w:p w:rsidR="006C30F1" w:rsidRPr="009C2AD3" w:rsidRDefault="00926546" w:rsidP="008103F5">
      <w:pPr>
        <w:jc w:val="both"/>
        <w:rPr>
          <w:rFonts w:ascii="Open Sans" w:hAnsi="Open Sans" w:cs="Open Sans"/>
          <w:sz w:val="24"/>
          <w:szCs w:val="24"/>
        </w:rPr>
      </w:pPr>
      <w:r w:rsidRPr="009C2AD3">
        <w:rPr>
          <w:rFonts w:ascii="Open Sans" w:hAnsi="Open Sans" w:cs="Open Sans"/>
          <w:sz w:val="24"/>
          <w:szCs w:val="24"/>
        </w:rPr>
        <w:lastRenderedPageBreak/>
        <w:t>iš kurių Europos regioninio plėtros fondo (2014-2020 m. Interreg V-A Latvijos ir Lietuvos programos) skirtos lėšos – 40</w:t>
      </w:r>
      <w:r w:rsidR="006C30F1" w:rsidRPr="009C2AD3">
        <w:rPr>
          <w:rFonts w:ascii="Open Sans" w:hAnsi="Open Sans" w:cs="Open Sans"/>
          <w:sz w:val="24"/>
          <w:szCs w:val="24"/>
        </w:rPr>
        <w:t>0 549,29 E</w:t>
      </w:r>
      <w:r w:rsidRPr="009C2AD3">
        <w:rPr>
          <w:rFonts w:ascii="Open Sans" w:hAnsi="Open Sans" w:cs="Open Sans"/>
          <w:sz w:val="24"/>
          <w:szCs w:val="24"/>
        </w:rPr>
        <w:t>urai,</w:t>
      </w:r>
    </w:p>
    <w:p w:rsidR="00926546" w:rsidRPr="009C2AD3" w:rsidRDefault="00926546" w:rsidP="008103F5">
      <w:pPr>
        <w:jc w:val="both"/>
        <w:rPr>
          <w:rFonts w:ascii="Open Sans" w:hAnsi="Open Sans" w:cs="Open Sans"/>
          <w:sz w:val="24"/>
          <w:szCs w:val="24"/>
        </w:rPr>
      </w:pPr>
      <w:r w:rsidRPr="009C2AD3">
        <w:rPr>
          <w:rFonts w:ascii="Open Sans" w:hAnsi="Open Sans" w:cs="Open Sans"/>
          <w:sz w:val="24"/>
          <w:szCs w:val="24"/>
        </w:rPr>
        <w:t xml:space="preserve"> projekto partnerių lėšos - 70 685,18 eurai.</w:t>
      </w:r>
    </w:p>
    <w:p w:rsidR="00926546" w:rsidRPr="009C2AD3" w:rsidRDefault="006C30F1" w:rsidP="008103F5">
      <w:pPr>
        <w:jc w:val="both"/>
        <w:rPr>
          <w:rFonts w:ascii="Open Sans" w:hAnsi="Open Sans" w:cs="Open Sans"/>
          <w:sz w:val="24"/>
          <w:szCs w:val="24"/>
        </w:rPr>
      </w:pPr>
      <w:r w:rsidRPr="009C2AD3">
        <w:rPr>
          <w:rFonts w:ascii="Open Sans" w:hAnsi="Open Sans" w:cs="Open Sans"/>
          <w:sz w:val="24"/>
          <w:szCs w:val="24"/>
        </w:rPr>
        <w:t xml:space="preserve">Rokiškio Turizmo ir tradicinių amatų informacijos ir koordinavimo centrui </w:t>
      </w:r>
      <w:r w:rsidR="00926546" w:rsidRPr="009C2AD3">
        <w:rPr>
          <w:rFonts w:ascii="Open Sans" w:hAnsi="Open Sans" w:cs="Open Sans"/>
          <w:sz w:val="24"/>
          <w:szCs w:val="24"/>
        </w:rPr>
        <w:t xml:space="preserve"> tenkanti projekto lėšų suma – </w:t>
      </w:r>
      <w:r w:rsidRPr="009C2AD3">
        <w:rPr>
          <w:rFonts w:ascii="Open Sans" w:hAnsi="Open Sans" w:cs="Open Sans"/>
          <w:sz w:val="24"/>
          <w:szCs w:val="24"/>
        </w:rPr>
        <w:t>92,542 E</w:t>
      </w:r>
      <w:r w:rsidR="00926546" w:rsidRPr="009C2AD3">
        <w:rPr>
          <w:rFonts w:ascii="Open Sans" w:hAnsi="Open Sans" w:cs="Open Sans"/>
          <w:sz w:val="24"/>
          <w:szCs w:val="24"/>
        </w:rPr>
        <w:t xml:space="preserve">urai, iš jų Europos regioninio plėtros fondo parama </w:t>
      </w:r>
      <w:r w:rsidRPr="009C2AD3">
        <w:rPr>
          <w:rFonts w:ascii="Open Sans" w:hAnsi="Open Sans" w:cs="Open Sans"/>
          <w:sz w:val="24"/>
          <w:szCs w:val="24"/>
        </w:rPr>
        <w:t>–</w:t>
      </w:r>
      <w:r w:rsidR="00926546" w:rsidRPr="009C2AD3">
        <w:rPr>
          <w:rFonts w:ascii="Open Sans" w:hAnsi="Open Sans" w:cs="Open Sans"/>
          <w:sz w:val="24"/>
          <w:szCs w:val="24"/>
        </w:rPr>
        <w:t xml:space="preserve"> </w:t>
      </w:r>
      <w:r w:rsidRPr="009C2AD3">
        <w:rPr>
          <w:rFonts w:ascii="Open Sans" w:hAnsi="Open Sans" w:cs="Open Sans"/>
          <w:sz w:val="24"/>
          <w:szCs w:val="24"/>
        </w:rPr>
        <w:t>78660,70 Eurai, Rokiškio rajono savivaldybės biudžeto lėšos – 13881,30 Eur</w:t>
      </w:r>
    </w:p>
    <w:p w:rsidR="00926546" w:rsidRPr="009C2AD3" w:rsidRDefault="00926546" w:rsidP="008103F5">
      <w:pPr>
        <w:jc w:val="both"/>
        <w:rPr>
          <w:rFonts w:ascii="Open Sans" w:hAnsi="Open Sans" w:cs="Open Sans"/>
          <w:sz w:val="24"/>
          <w:szCs w:val="24"/>
        </w:rPr>
      </w:pPr>
      <w:r w:rsidRPr="009C2AD3">
        <w:rPr>
          <w:rFonts w:ascii="Open Sans" w:hAnsi="Open Sans" w:cs="Open Sans"/>
          <w:sz w:val="24"/>
          <w:szCs w:val="24"/>
        </w:rPr>
        <w:t>Projekto pradžia:  2017-04-01</w:t>
      </w:r>
    </w:p>
    <w:p w:rsidR="00926546" w:rsidRPr="009C2AD3" w:rsidRDefault="00926546" w:rsidP="008103F5">
      <w:pPr>
        <w:jc w:val="both"/>
        <w:rPr>
          <w:rFonts w:ascii="Open Sans" w:hAnsi="Open Sans" w:cs="Open Sans"/>
          <w:sz w:val="24"/>
          <w:szCs w:val="24"/>
        </w:rPr>
      </w:pPr>
      <w:r w:rsidRPr="009C2AD3">
        <w:rPr>
          <w:rFonts w:ascii="Open Sans" w:hAnsi="Open Sans" w:cs="Open Sans"/>
          <w:sz w:val="24"/>
          <w:szCs w:val="24"/>
        </w:rPr>
        <w:t>Projekto pabaiga: 2018-12-31 </w:t>
      </w:r>
    </w:p>
    <w:p w:rsidR="00926546" w:rsidRPr="009C2AD3" w:rsidRDefault="00926546" w:rsidP="008103F5">
      <w:pPr>
        <w:jc w:val="both"/>
        <w:rPr>
          <w:rFonts w:ascii="Open Sans" w:hAnsi="Open Sans" w:cs="Open Sans"/>
          <w:sz w:val="24"/>
          <w:szCs w:val="24"/>
        </w:rPr>
      </w:pPr>
      <w:r w:rsidRPr="009C2AD3">
        <w:rPr>
          <w:rFonts w:ascii="Open Sans" w:hAnsi="Open Sans" w:cs="Open Sans"/>
          <w:sz w:val="24"/>
          <w:szCs w:val="24"/>
        </w:rPr>
        <w:t>Nuorodos:</w:t>
      </w:r>
    </w:p>
    <w:p w:rsidR="00926546" w:rsidRPr="009C2AD3" w:rsidRDefault="00926546" w:rsidP="008103F5">
      <w:pPr>
        <w:jc w:val="both"/>
        <w:rPr>
          <w:rFonts w:ascii="Open Sans" w:hAnsi="Open Sans" w:cs="Open Sans"/>
          <w:sz w:val="24"/>
          <w:szCs w:val="24"/>
        </w:rPr>
      </w:pPr>
      <w:r w:rsidRPr="009C2AD3">
        <w:rPr>
          <w:rFonts w:ascii="Open Sans" w:hAnsi="Open Sans" w:cs="Open Sans"/>
          <w:sz w:val="24"/>
          <w:szCs w:val="24"/>
        </w:rPr>
        <w:t xml:space="preserve">2014-2020 m. Interreg V-A Latvijos ir Lietuvos programos interneto svetainė </w:t>
      </w:r>
      <w:hyperlink r:id="rId8" w:tgtFrame="_blank" w:history="1">
        <w:r w:rsidRPr="009C2AD3">
          <w:rPr>
            <w:rFonts w:ascii="Open Sans" w:hAnsi="Open Sans" w:cs="Open Sans"/>
            <w:color w:val="0563C1"/>
            <w:sz w:val="24"/>
            <w:szCs w:val="24"/>
            <w:u w:val="single"/>
          </w:rPr>
          <w:t>www.latlit.eu</w:t>
        </w:r>
      </w:hyperlink>
    </w:p>
    <w:p w:rsidR="00677381" w:rsidRPr="009C2AD3" w:rsidRDefault="00926546" w:rsidP="008103F5">
      <w:pPr>
        <w:ind w:firstLine="567"/>
        <w:jc w:val="both"/>
        <w:rPr>
          <w:rFonts w:ascii="Open Sans" w:hAnsi="Open Sans" w:cs="Open Sans"/>
          <w:color w:val="0563C1"/>
          <w:sz w:val="24"/>
          <w:szCs w:val="24"/>
          <w:u w:val="single"/>
        </w:rPr>
      </w:pPr>
      <w:r w:rsidRPr="009C2AD3">
        <w:rPr>
          <w:rFonts w:ascii="Open Sans" w:hAnsi="Open Sans" w:cs="Open Sans"/>
          <w:sz w:val="24"/>
          <w:szCs w:val="24"/>
        </w:rPr>
        <w:t xml:space="preserve">Oficiali Europos Sąjungos interneto svetainė </w:t>
      </w:r>
      <w:hyperlink r:id="rId9" w:tgtFrame="_blank" w:history="1">
        <w:r w:rsidRPr="009C2AD3">
          <w:rPr>
            <w:rFonts w:ascii="Open Sans" w:hAnsi="Open Sans" w:cs="Open Sans"/>
            <w:color w:val="0563C1"/>
            <w:sz w:val="24"/>
            <w:szCs w:val="24"/>
            <w:u w:val="single"/>
          </w:rPr>
          <w:t>www.europa.eu</w:t>
        </w:r>
      </w:hyperlink>
    </w:p>
    <w:p w:rsidR="00ED3281" w:rsidRPr="009C2AD3" w:rsidRDefault="00ED3281" w:rsidP="008103F5">
      <w:pPr>
        <w:ind w:firstLine="567"/>
        <w:jc w:val="both"/>
        <w:rPr>
          <w:rFonts w:ascii="Open Sans" w:hAnsi="Open Sans" w:cs="Open Sans"/>
          <w:color w:val="0563C1"/>
          <w:sz w:val="24"/>
          <w:szCs w:val="24"/>
          <w:u w:val="single"/>
        </w:rPr>
        <w:sectPr w:rsidR="00ED3281" w:rsidRPr="009C2AD3" w:rsidSect="005F1F45">
          <w:pgSz w:w="11906" w:h="16838"/>
          <w:pgMar w:top="1440" w:right="1440" w:bottom="1440" w:left="1440" w:header="567" w:footer="567" w:gutter="0"/>
          <w:cols w:space="1296"/>
          <w:docGrid w:linePitch="360"/>
        </w:sectPr>
      </w:pPr>
      <w:r w:rsidRPr="009C2AD3">
        <w:rPr>
          <w:rFonts w:ascii="Open Sans" w:hAnsi="Open Sans" w:cs="Open Sans"/>
          <w:color w:val="0563C1"/>
          <w:sz w:val="24"/>
          <w:szCs w:val="24"/>
          <w:u w:val="single"/>
        </w:rPr>
        <w:t>Šis straipsnis parengtas gavus Europos Sąjungos finansinę paramą. Už šio straipsnio turinį atsako projekto partneriai. Ši informacija neturi būti laikoma Europos sąjungos oficialia nuomone.</w:t>
      </w:r>
    </w:p>
    <w:p w:rsidR="00ED3281" w:rsidRPr="009C2AD3" w:rsidRDefault="00ED3281" w:rsidP="008103F5">
      <w:pPr>
        <w:ind w:firstLine="567"/>
        <w:jc w:val="both"/>
        <w:rPr>
          <w:rFonts w:ascii="Open Sans" w:hAnsi="Open Sans" w:cs="Open Sans"/>
          <w:sz w:val="24"/>
          <w:szCs w:val="24"/>
        </w:rPr>
      </w:pPr>
    </w:p>
    <w:sectPr w:rsidR="00ED3281" w:rsidRPr="009C2AD3" w:rsidSect="00EF4DDA">
      <w:pgSz w:w="11906" w:h="16838"/>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413" w:rsidRDefault="008A2413" w:rsidP="00757598">
      <w:pPr>
        <w:spacing w:after="0" w:line="240" w:lineRule="auto"/>
      </w:pPr>
      <w:r>
        <w:separator/>
      </w:r>
    </w:p>
  </w:endnote>
  <w:endnote w:type="continuationSeparator" w:id="0">
    <w:p w:rsidR="008A2413" w:rsidRDefault="008A2413" w:rsidP="00757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413" w:rsidRDefault="008A2413" w:rsidP="00757598">
      <w:pPr>
        <w:spacing w:after="0" w:line="240" w:lineRule="auto"/>
      </w:pPr>
      <w:r>
        <w:separator/>
      </w:r>
    </w:p>
  </w:footnote>
  <w:footnote w:type="continuationSeparator" w:id="0">
    <w:p w:rsidR="008A2413" w:rsidRDefault="008A2413" w:rsidP="007575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4200"/>
    <w:rsid w:val="00070CA5"/>
    <w:rsid w:val="000F42B5"/>
    <w:rsid w:val="00106FE1"/>
    <w:rsid w:val="001D0BA2"/>
    <w:rsid w:val="002065A4"/>
    <w:rsid w:val="0033305B"/>
    <w:rsid w:val="003406B4"/>
    <w:rsid w:val="00400047"/>
    <w:rsid w:val="005079E6"/>
    <w:rsid w:val="00585DC5"/>
    <w:rsid w:val="005D35F1"/>
    <w:rsid w:val="005E21CD"/>
    <w:rsid w:val="00677381"/>
    <w:rsid w:val="006A190A"/>
    <w:rsid w:val="006A425B"/>
    <w:rsid w:val="006B1B86"/>
    <w:rsid w:val="006C30F1"/>
    <w:rsid w:val="006F7654"/>
    <w:rsid w:val="00734147"/>
    <w:rsid w:val="00757598"/>
    <w:rsid w:val="007D2F72"/>
    <w:rsid w:val="008103F5"/>
    <w:rsid w:val="00853FDC"/>
    <w:rsid w:val="00865929"/>
    <w:rsid w:val="00890953"/>
    <w:rsid w:val="008A2413"/>
    <w:rsid w:val="00926546"/>
    <w:rsid w:val="00967C3D"/>
    <w:rsid w:val="009C2AD3"/>
    <w:rsid w:val="009D1F01"/>
    <w:rsid w:val="009E4200"/>
    <w:rsid w:val="00A15F13"/>
    <w:rsid w:val="00A30B18"/>
    <w:rsid w:val="00A760E9"/>
    <w:rsid w:val="00AE2E65"/>
    <w:rsid w:val="00B8017D"/>
    <w:rsid w:val="00B8332D"/>
    <w:rsid w:val="00B8379E"/>
    <w:rsid w:val="00C25426"/>
    <w:rsid w:val="00C80CD3"/>
    <w:rsid w:val="00CC1260"/>
    <w:rsid w:val="00CD5091"/>
    <w:rsid w:val="00CE7593"/>
    <w:rsid w:val="00D747C9"/>
    <w:rsid w:val="00D86EAD"/>
    <w:rsid w:val="00DD451C"/>
    <w:rsid w:val="00E25B59"/>
    <w:rsid w:val="00EB29C7"/>
    <w:rsid w:val="00ED06E3"/>
    <w:rsid w:val="00ED3281"/>
    <w:rsid w:val="00EF4DDA"/>
    <w:rsid w:val="00EF4F39"/>
    <w:rsid w:val="00F32DF2"/>
    <w:rsid w:val="00F71D08"/>
    <w:rsid w:val="00FA7214"/>
    <w:rsid w:val="00FE7FA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A02CDDC1-FFFB-46BB-A757-1C66A70C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F4DDA"/>
    <w:pPr>
      <w:spacing w:after="160" w:line="259"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757598"/>
    <w:pPr>
      <w:tabs>
        <w:tab w:val="center" w:pos="4513"/>
        <w:tab w:val="right" w:pos="9026"/>
      </w:tabs>
      <w:spacing w:after="0" w:line="240" w:lineRule="auto"/>
    </w:pPr>
  </w:style>
  <w:style w:type="character" w:customStyle="1" w:styleId="AntratsDiagrama">
    <w:name w:val="Antraštės Diagrama"/>
    <w:link w:val="Antrats"/>
    <w:uiPriority w:val="99"/>
    <w:locked/>
    <w:rsid w:val="00757598"/>
    <w:rPr>
      <w:rFonts w:cs="Times New Roman"/>
    </w:rPr>
  </w:style>
  <w:style w:type="paragraph" w:styleId="Porat">
    <w:name w:val="footer"/>
    <w:basedOn w:val="prastasis"/>
    <w:link w:val="PoratDiagrama"/>
    <w:uiPriority w:val="99"/>
    <w:rsid w:val="00757598"/>
    <w:pPr>
      <w:tabs>
        <w:tab w:val="center" w:pos="4513"/>
        <w:tab w:val="right" w:pos="9026"/>
      </w:tabs>
      <w:spacing w:after="0" w:line="240" w:lineRule="auto"/>
    </w:pPr>
  </w:style>
  <w:style w:type="character" w:customStyle="1" w:styleId="PoratDiagrama">
    <w:name w:val="Poraštė Diagrama"/>
    <w:link w:val="Porat"/>
    <w:uiPriority w:val="99"/>
    <w:locked/>
    <w:rsid w:val="00757598"/>
    <w:rPr>
      <w:rFonts w:cs="Times New Roman"/>
    </w:rPr>
  </w:style>
  <w:style w:type="character" w:customStyle="1" w:styleId="alt-edited">
    <w:name w:val="alt-edited"/>
    <w:uiPriority w:val="99"/>
    <w:rsid w:val="00EF4F3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tlit.eu"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1929</Words>
  <Characters>1100</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lpstr>
    </vt:vector>
  </TitlesOfParts>
  <Company/>
  <LinksUpToDate>false</LinksUpToDate>
  <CharactersWithSpaces>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6</cp:revision>
  <dcterms:created xsi:type="dcterms:W3CDTF">2018-04-19T08:10:00Z</dcterms:created>
  <dcterms:modified xsi:type="dcterms:W3CDTF">2018-04-23T11:56:00Z</dcterms:modified>
</cp:coreProperties>
</file>